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:rsidTr="001B096D">
        <w:trPr>
          <w:trHeight w:val="2126"/>
        </w:trPr>
        <w:tc>
          <w:tcPr>
            <w:tcW w:w="8505" w:type="dxa"/>
          </w:tcPr>
          <w:p w:rsidR="00CA3E45" w:rsidRDefault="00C42E04" w:rsidP="00CA3E45">
            <w:pPr>
              <w:pStyle w:val="Documenttitle"/>
            </w:pPr>
            <w:r>
              <w:t xml:space="preserve">International Freephone Services </w:t>
            </w:r>
          </w:p>
        </w:tc>
      </w:tr>
    </w:tbl>
    <w:p w:rsidR="00C42E04" w:rsidRPr="00CB0E4C" w:rsidRDefault="00C42E04" w:rsidP="00C42E04">
      <w:pPr>
        <w:pStyle w:val="DocTitle"/>
        <w:jc w:val="left"/>
        <w:rPr>
          <w:b/>
          <w:color w:val="00A59B"/>
          <w:sz w:val="28"/>
          <w:szCs w:val="28"/>
        </w:rPr>
      </w:pPr>
      <w:r w:rsidRPr="00CB0E4C">
        <w:rPr>
          <w:b/>
          <w:color w:val="00A59B"/>
          <w:sz w:val="28"/>
          <w:szCs w:val="28"/>
        </w:rPr>
        <w:t>Process for Conversion to Colt Standard Freephone and Porting</w:t>
      </w:r>
    </w:p>
    <w:p w:rsidR="00C42E04" w:rsidRPr="00CB0E4C" w:rsidRDefault="00C42E04" w:rsidP="00C42E04">
      <w:pPr>
        <w:rPr>
          <w:rFonts w:ascii="Arial" w:hAnsi="Arial" w:cs="Arial"/>
          <w:sz w:val="24"/>
          <w:szCs w:val="24"/>
        </w:rPr>
      </w:pPr>
      <w:bookmarkStart w:id="0" w:name="OLE_LINK2"/>
      <w:bookmarkStart w:id="1" w:name="OLE_LINK3"/>
      <w:bookmarkStart w:id="2" w:name="_Toc359233345"/>
      <w:r w:rsidRPr="00CB0E4C">
        <w:rPr>
          <w:rFonts w:ascii="Arial" w:hAnsi="Arial" w:cs="Arial"/>
          <w:sz w:val="24"/>
          <w:szCs w:val="24"/>
        </w:rPr>
        <w:t>The International Freephone Service enables a customer in one country to be allocated (through his local carrier) a Freephone number in another country, which allows callers in that country to call the customer free of charge.</w:t>
      </w:r>
    </w:p>
    <w:p w:rsidR="00C42E04" w:rsidRPr="00CB0E4C" w:rsidRDefault="00C42E04" w:rsidP="00C42E04">
      <w:pPr>
        <w:rPr>
          <w:rFonts w:ascii="Arial" w:hAnsi="Arial" w:cs="Arial"/>
          <w:sz w:val="24"/>
          <w:szCs w:val="24"/>
        </w:rPr>
      </w:pPr>
      <w:r w:rsidRPr="00CB0E4C">
        <w:rPr>
          <w:rFonts w:ascii="Arial" w:hAnsi="Arial" w:cs="Arial"/>
          <w:b/>
          <w:color w:val="FF0000"/>
          <w:sz w:val="24"/>
          <w:szCs w:val="24"/>
        </w:rPr>
        <w:t xml:space="preserve">Colt DOES NOT OFFER AN INTERNATIONAL FREEPHONE SERVICE (IFS), </w:t>
      </w:r>
      <w:r w:rsidRPr="00CB0E4C">
        <w:rPr>
          <w:rFonts w:ascii="Arial" w:hAnsi="Arial" w:cs="Arial"/>
          <w:sz w:val="24"/>
          <w:szCs w:val="24"/>
        </w:rPr>
        <w:t xml:space="preserve">however </w:t>
      </w:r>
      <w:r w:rsidRPr="00EC5CAC">
        <w:rPr>
          <w:rFonts w:ascii="Arial" w:hAnsi="Arial" w:cs="Arial"/>
          <w:sz w:val="24"/>
          <w:szCs w:val="24"/>
        </w:rPr>
        <w:t xml:space="preserve">under most circumstances we are able to convert existing IFS number to a normal national </w:t>
      </w:r>
      <w:proofErr w:type="spellStart"/>
      <w:r w:rsidRPr="00EC5CAC">
        <w:rPr>
          <w:rFonts w:ascii="Arial" w:hAnsi="Arial" w:cs="Arial"/>
          <w:sz w:val="24"/>
          <w:szCs w:val="24"/>
        </w:rPr>
        <w:t>freephone</w:t>
      </w:r>
      <w:proofErr w:type="spellEnd"/>
      <w:r w:rsidRPr="00EC5CAC">
        <w:rPr>
          <w:rFonts w:ascii="Arial" w:hAnsi="Arial" w:cs="Arial"/>
          <w:sz w:val="24"/>
          <w:szCs w:val="24"/>
        </w:rPr>
        <w:t xml:space="preserve"> number and port them to Colt.  This allows the customer to retain the number, and operate a Freephone service in a chosen originating country, but the number loses its International Freephone characteristics.</w:t>
      </w:r>
      <w:r w:rsidRPr="00CB0E4C">
        <w:rPr>
          <w:rFonts w:ascii="Arial" w:hAnsi="Arial" w:cs="Arial"/>
          <w:i/>
          <w:sz w:val="24"/>
          <w:szCs w:val="24"/>
        </w:rPr>
        <w:t xml:space="preserve"> </w:t>
      </w:r>
    </w:p>
    <w:bookmarkEnd w:id="0"/>
    <w:bookmarkEnd w:id="1"/>
    <w:p w:rsidR="00C42E04" w:rsidRPr="00CB0E4C" w:rsidRDefault="00C42E04" w:rsidP="00C42E04">
      <w:pPr>
        <w:rPr>
          <w:rFonts w:ascii="Arial" w:hAnsi="Arial" w:cs="Arial"/>
          <w:sz w:val="24"/>
          <w:szCs w:val="24"/>
        </w:rPr>
      </w:pPr>
      <w:r w:rsidRPr="00CB0E4C">
        <w:rPr>
          <w:rFonts w:ascii="Arial" w:hAnsi="Arial" w:cs="Arial"/>
          <w:sz w:val="24"/>
          <w:szCs w:val="24"/>
        </w:rPr>
        <w:t>There is no established process between European carriers for conversion and porting of IFS numbers.  As such, IFS conversion and portability must be considered on a case by case basis.  The table below summarises our experience to date with the conversion and porting of IFS numbers by Colt country.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4479"/>
        <w:gridCol w:w="3108"/>
      </w:tblGrid>
      <w:tr w:rsidR="00C42E04" w:rsidRPr="00CB0E4C" w:rsidTr="001903DE">
        <w:trPr>
          <w:trHeight w:val="614"/>
          <w:jc w:val="center"/>
        </w:trPr>
        <w:tc>
          <w:tcPr>
            <w:tcW w:w="1927" w:type="dxa"/>
            <w:shd w:val="clear" w:color="auto" w:fill="548DD4"/>
            <w:noWrap/>
            <w:vAlign w:val="center"/>
            <w:hideMark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3" w:name="OLE_LINK1"/>
            <w:r w:rsidRPr="00CB0E4C">
              <w:rPr>
                <w:rFonts w:ascii="Arial" w:hAnsi="Arial" w:cs="Arial"/>
                <w:b/>
                <w:color w:val="FFFFFF"/>
              </w:rPr>
              <w:t>Colt Country</w:t>
            </w:r>
          </w:p>
        </w:tc>
        <w:tc>
          <w:tcPr>
            <w:tcW w:w="4479" w:type="dxa"/>
            <w:shd w:val="clear" w:color="auto" w:fill="548DD4"/>
            <w:noWrap/>
            <w:vAlign w:val="center"/>
            <w:hideMark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0E4C">
              <w:rPr>
                <w:rFonts w:ascii="Arial" w:hAnsi="Arial" w:cs="Arial"/>
                <w:b/>
                <w:color w:val="FFFFFF"/>
              </w:rPr>
              <w:t>Feasibility of IFS Conversion and Porting</w:t>
            </w:r>
          </w:p>
        </w:tc>
        <w:tc>
          <w:tcPr>
            <w:tcW w:w="3108" w:type="dxa"/>
            <w:shd w:val="clear" w:color="auto" w:fill="548DD4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0E4C">
              <w:rPr>
                <w:rFonts w:ascii="Arial" w:hAnsi="Arial" w:cs="Arial"/>
                <w:b/>
                <w:color w:val="FFFFFF"/>
              </w:rPr>
              <w:t>Process to follow</w:t>
            </w: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9BBB59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</w:rPr>
              <w:t>Netherlands</w:t>
            </w:r>
          </w:p>
        </w:tc>
        <w:tc>
          <w:tcPr>
            <w:tcW w:w="4479" w:type="dxa"/>
            <w:vMerge w:val="restart"/>
            <w:shd w:val="clear" w:color="auto" w:fill="9BBB59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ind w:left="385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Feasible as BAU</w:t>
            </w:r>
          </w:p>
        </w:tc>
        <w:tc>
          <w:tcPr>
            <w:tcW w:w="3108" w:type="dxa"/>
            <w:vMerge w:val="restart"/>
            <w:shd w:val="clear" w:color="auto" w:fill="9BBB59"/>
            <w:vAlign w:val="center"/>
          </w:tcPr>
          <w:p w:rsidR="00C42E04" w:rsidRPr="00CB0E4C" w:rsidRDefault="0063720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hyperlink r:id="rId11" w:history="1">
              <w:r w:rsidR="00C42E04" w:rsidRPr="00CB0E4C">
                <w:rPr>
                  <w:rStyle w:val="Hyperlink"/>
                  <w:rFonts w:ascii="Arial" w:hAnsi="Arial" w:cs="Arial"/>
                  <w:bCs/>
                </w:rPr>
                <w:t>Standard porting processes</w:t>
              </w:r>
            </w:hyperlink>
          </w:p>
        </w:tc>
      </w:tr>
      <w:tr w:rsidR="00C42E04" w:rsidRPr="00CB0E4C" w:rsidTr="001903DE">
        <w:trPr>
          <w:trHeight w:hRule="exact" w:val="557"/>
          <w:jc w:val="center"/>
        </w:trPr>
        <w:tc>
          <w:tcPr>
            <w:tcW w:w="1927" w:type="dxa"/>
            <w:shd w:val="clear" w:color="auto" w:fill="9BBB59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Spain</w:t>
            </w:r>
          </w:p>
        </w:tc>
        <w:tc>
          <w:tcPr>
            <w:tcW w:w="4479" w:type="dxa"/>
            <w:vMerge/>
            <w:shd w:val="clear" w:color="auto" w:fill="9BBB59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08" w:type="dxa"/>
            <w:vMerge/>
            <w:shd w:val="clear" w:color="auto" w:fill="9BBB59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Belgium</w:t>
            </w:r>
          </w:p>
        </w:tc>
        <w:tc>
          <w:tcPr>
            <w:tcW w:w="4479" w:type="dxa"/>
            <w:vMerge w:val="restart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08" w:type="dxa"/>
            <w:vMerge w:val="restart"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France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Germany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Italy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35072" w:rsidRPr="00CB0E4C" w:rsidTr="00635072">
        <w:trPr>
          <w:trHeight w:val="431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Ireland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Switzerland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42E04" w:rsidRPr="00CB0E4C" w:rsidTr="001903DE">
        <w:trPr>
          <w:trHeight w:hRule="exact" w:val="454"/>
          <w:jc w:val="center"/>
        </w:trPr>
        <w:tc>
          <w:tcPr>
            <w:tcW w:w="1927" w:type="dxa"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UK</w:t>
            </w:r>
          </w:p>
        </w:tc>
        <w:tc>
          <w:tcPr>
            <w:tcW w:w="4479" w:type="dxa"/>
            <w:vMerge/>
            <w:shd w:val="clear" w:color="auto" w:fill="FFFF00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ind w:left="385" w:right="544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FF00"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35072" w:rsidRPr="00CB0E4C" w:rsidTr="001903DE">
        <w:trPr>
          <w:trHeight w:hRule="exact" w:val="555"/>
          <w:jc w:val="center"/>
        </w:trPr>
        <w:tc>
          <w:tcPr>
            <w:tcW w:w="1927" w:type="dxa"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Austria</w:t>
            </w:r>
          </w:p>
        </w:tc>
        <w:tc>
          <w:tcPr>
            <w:tcW w:w="4479" w:type="dxa"/>
            <w:vMerge w:val="restart"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ind w:left="385" w:right="544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Not feasible – as at 18 June 2013 all previous efforts have not succeeded</w:t>
            </w:r>
          </w:p>
        </w:tc>
        <w:tc>
          <w:tcPr>
            <w:tcW w:w="3108" w:type="dxa"/>
            <w:vMerge w:val="restart"/>
            <w:shd w:val="clear" w:color="auto" w:fill="E36C0A"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No process available</w:t>
            </w:r>
          </w:p>
        </w:tc>
      </w:tr>
      <w:tr w:rsidR="00635072" w:rsidRPr="00CB0E4C" w:rsidTr="001903DE">
        <w:trPr>
          <w:trHeight w:hRule="exact" w:val="564"/>
          <w:jc w:val="center"/>
        </w:trPr>
        <w:tc>
          <w:tcPr>
            <w:tcW w:w="1927" w:type="dxa"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Denmark</w:t>
            </w:r>
          </w:p>
        </w:tc>
        <w:tc>
          <w:tcPr>
            <w:tcW w:w="4479" w:type="dxa"/>
            <w:vMerge/>
            <w:shd w:val="clear" w:color="auto" w:fill="FF0000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FF0000"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35072" w:rsidRPr="00CB0E4C" w:rsidTr="001903DE">
        <w:trPr>
          <w:trHeight w:hRule="exact" w:val="564"/>
          <w:jc w:val="center"/>
        </w:trPr>
        <w:tc>
          <w:tcPr>
            <w:tcW w:w="1927" w:type="dxa"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</w:rPr>
              <w:t>Portugal</w:t>
            </w:r>
          </w:p>
        </w:tc>
        <w:tc>
          <w:tcPr>
            <w:tcW w:w="4479" w:type="dxa"/>
            <w:vMerge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E36C0A"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35072" w:rsidRPr="00CB0E4C" w:rsidTr="001903DE">
        <w:trPr>
          <w:trHeight w:hRule="exact" w:val="564"/>
          <w:jc w:val="center"/>
        </w:trPr>
        <w:tc>
          <w:tcPr>
            <w:tcW w:w="1927" w:type="dxa"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  <w:r w:rsidRPr="00CB0E4C">
              <w:rPr>
                <w:rFonts w:ascii="Arial" w:hAnsi="Arial" w:cs="Arial"/>
                <w:bCs/>
                <w:color w:val="000000"/>
              </w:rPr>
              <w:t>Sweden</w:t>
            </w:r>
          </w:p>
        </w:tc>
        <w:tc>
          <w:tcPr>
            <w:tcW w:w="4479" w:type="dxa"/>
            <w:vMerge/>
            <w:shd w:val="clear" w:color="auto" w:fill="E36C0A"/>
            <w:noWrap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108" w:type="dxa"/>
            <w:vMerge/>
            <w:shd w:val="clear" w:color="auto" w:fill="E36C0A"/>
            <w:vAlign w:val="center"/>
          </w:tcPr>
          <w:p w:rsidR="00635072" w:rsidRPr="00CB0E4C" w:rsidRDefault="00635072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bookmarkEnd w:id="3"/>
    </w:tbl>
    <w:p w:rsidR="00C42E04" w:rsidRPr="00CB0E4C" w:rsidRDefault="00C42E04" w:rsidP="00C42E04">
      <w:pPr>
        <w:rPr>
          <w:rFonts w:ascii="Arial" w:hAnsi="Arial" w:cs="Arial"/>
          <w:sz w:val="24"/>
          <w:szCs w:val="24"/>
        </w:rPr>
      </w:pPr>
    </w:p>
    <w:p w:rsidR="006D6AB7" w:rsidRPr="006D6AB7" w:rsidRDefault="00C42E04" w:rsidP="006D6AB7">
      <w:pPr>
        <w:pStyle w:val="Heading1"/>
        <w:ind w:left="432" w:hanging="432"/>
        <w:rPr>
          <w:rFonts w:ascii="Arial" w:hAnsi="Arial" w:cs="Arial"/>
          <w:b/>
          <w:color w:val="00A59B"/>
          <w:lang w:val="en-US"/>
        </w:rPr>
      </w:pPr>
      <w:bookmarkStart w:id="4" w:name="_GoBack"/>
      <w:bookmarkEnd w:id="2"/>
      <w:bookmarkEnd w:id="4"/>
      <w:r w:rsidRPr="00CB0E4C">
        <w:rPr>
          <w:rFonts w:ascii="Arial" w:hAnsi="Arial" w:cs="Arial"/>
          <w:b/>
          <w:color w:val="00A59B"/>
          <w:lang w:val="en-US"/>
        </w:rPr>
        <w:lastRenderedPageBreak/>
        <w:t>Top level process summary:</w:t>
      </w:r>
    </w:p>
    <w:p w:rsidR="00376CF1" w:rsidRPr="00CB0E4C" w:rsidRDefault="006D6AB7" w:rsidP="006D6AB7">
      <w:pPr>
        <w:pStyle w:val="COLTbodycopy"/>
      </w:pPr>
      <w:r>
        <w:rPr>
          <w:noProof/>
          <w:lang w:val="en-US" w:eastAsia="ja-JP"/>
        </w:rPr>
        <w:drawing>
          <wp:inline distT="0" distB="0" distL="0" distR="0" wp14:anchorId="083E350B" wp14:editId="20E89C35">
            <wp:extent cx="6479540" cy="3423038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8625" cy="342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E04" w:rsidRPr="00CB0E4C" w:rsidRDefault="00C42E04" w:rsidP="00C42E04">
      <w:pPr>
        <w:pStyle w:val="COLTbodycopy"/>
        <w:rPr>
          <w:lang w:val="en-US"/>
        </w:rPr>
      </w:pPr>
      <w:r w:rsidRPr="00CB0E4C">
        <w:rPr>
          <w:lang w:val="en-US"/>
        </w:rPr>
        <w:t>In Belgium, France, G</w:t>
      </w:r>
      <w:r w:rsidR="00C94A0A">
        <w:rPr>
          <w:lang w:val="en-US"/>
        </w:rPr>
        <w:t xml:space="preserve">ermany, Italy, Ireland, </w:t>
      </w:r>
      <w:r w:rsidRPr="00CB0E4C">
        <w:rPr>
          <w:lang w:val="en-US"/>
        </w:rPr>
        <w:t xml:space="preserve">Switzerland and the UK, Account Executives may request conversion and porting of IFS numbers.  Note that conversion and porting is not guaranteed.  </w:t>
      </w:r>
    </w:p>
    <w:p w:rsidR="00C42E04" w:rsidRPr="00CB0E4C" w:rsidRDefault="00C42E04" w:rsidP="00C42E04">
      <w:pPr>
        <w:pStyle w:val="COLTbodycopy"/>
        <w:rPr>
          <w:lang w:val="en-US"/>
        </w:rPr>
      </w:pPr>
      <w:r w:rsidRPr="00CB0E4C">
        <w:rPr>
          <w:b/>
          <w:lang w:val="en-US"/>
        </w:rPr>
        <w:t>Step 1:</w:t>
      </w:r>
      <w:r w:rsidRPr="00CB0E4C">
        <w:rPr>
          <w:lang w:val="en-US"/>
        </w:rPr>
        <w:t xml:space="preserve"> To trigger the process, AE’s must complete and forward the request template and the customer consent form to the </w:t>
      </w:r>
      <w:r w:rsidR="00926A40">
        <w:rPr>
          <w:lang w:val="en-US"/>
        </w:rPr>
        <w:t>porting team (see contact list below). If there are issues then these can be escalated to the interconnect managers.</w:t>
      </w:r>
    </w:p>
    <w:tbl>
      <w:tblPr>
        <w:tblW w:w="8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07"/>
      </w:tblGrid>
      <w:tr w:rsidR="00C42E04" w:rsidRPr="00CB0E4C" w:rsidTr="001903DE">
        <w:trPr>
          <w:trHeight w:val="614"/>
        </w:trPr>
        <w:tc>
          <w:tcPr>
            <w:tcW w:w="8717" w:type="dxa"/>
            <w:gridSpan w:val="2"/>
            <w:shd w:val="clear" w:color="auto" w:fill="00A59B"/>
            <w:noWrap/>
            <w:vAlign w:val="center"/>
            <w:hideMark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0E4C">
              <w:rPr>
                <w:rFonts w:ascii="Arial" w:hAnsi="Arial" w:cs="Arial"/>
                <w:b/>
                <w:color w:val="FFFFFF"/>
              </w:rPr>
              <w:t>IFS Number Conversion and Porting Request Template</w:t>
            </w:r>
          </w:p>
        </w:tc>
      </w:tr>
      <w:tr w:rsidR="00C42E04" w:rsidRPr="00CB0E4C" w:rsidTr="001903DE">
        <w:trPr>
          <w:trHeight w:val="614"/>
        </w:trPr>
        <w:tc>
          <w:tcPr>
            <w:tcW w:w="2410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B0E4C">
              <w:rPr>
                <w:rFonts w:ascii="Arial" w:hAnsi="Arial" w:cs="Arial"/>
              </w:rPr>
              <w:t xml:space="preserve">Customer Name </w:t>
            </w:r>
          </w:p>
        </w:tc>
        <w:tc>
          <w:tcPr>
            <w:tcW w:w="6307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42E04" w:rsidRPr="00CB0E4C" w:rsidTr="001903DE">
        <w:trPr>
          <w:trHeight w:val="614"/>
        </w:trPr>
        <w:tc>
          <w:tcPr>
            <w:tcW w:w="2410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B0E4C">
              <w:rPr>
                <w:rFonts w:ascii="Arial" w:hAnsi="Arial" w:cs="Arial"/>
              </w:rPr>
              <w:t>Contact Address</w:t>
            </w:r>
          </w:p>
        </w:tc>
        <w:tc>
          <w:tcPr>
            <w:tcW w:w="6307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42E04" w:rsidRPr="00CB0E4C" w:rsidTr="001903DE">
        <w:trPr>
          <w:trHeight w:val="614"/>
        </w:trPr>
        <w:tc>
          <w:tcPr>
            <w:tcW w:w="2410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B0E4C">
              <w:rPr>
                <w:rFonts w:ascii="Arial" w:hAnsi="Arial" w:cs="Arial"/>
              </w:rPr>
              <w:t>Number / Range Details</w:t>
            </w:r>
          </w:p>
        </w:tc>
        <w:tc>
          <w:tcPr>
            <w:tcW w:w="6307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42E04" w:rsidRPr="00CB0E4C" w:rsidTr="001903DE">
        <w:trPr>
          <w:trHeight w:val="614"/>
        </w:trPr>
        <w:tc>
          <w:tcPr>
            <w:tcW w:w="2410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B0E4C">
              <w:rPr>
                <w:rFonts w:ascii="Arial" w:hAnsi="Arial" w:cs="Arial"/>
              </w:rPr>
              <w:t xml:space="preserve">Country </w:t>
            </w:r>
          </w:p>
        </w:tc>
        <w:tc>
          <w:tcPr>
            <w:tcW w:w="6307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42E04" w:rsidRPr="00CB0E4C" w:rsidTr="001903DE">
        <w:trPr>
          <w:trHeight w:val="614"/>
        </w:trPr>
        <w:tc>
          <w:tcPr>
            <w:tcW w:w="2410" w:type="dxa"/>
            <w:shd w:val="clear" w:color="auto" w:fill="auto"/>
            <w:noWrap/>
            <w:vAlign w:val="center"/>
          </w:tcPr>
          <w:p w:rsidR="00C42E04" w:rsidRPr="00CB0E4C" w:rsidRDefault="00C42E04" w:rsidP="001903D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CB0E4C">
              <w:rPr>
                <w:rFonts w:ascii="Arial" w:hAnsi="Arial" w:cs="Arial"/>
              </w:rPr>
              <w:t>Signed customer consent form</w:t>
            </w:r>
          </w:p>
        </w:tc>
        <w:bookmarkStart w:id="5" w:name="_MON_1566129360"/>
        <w:bookmarkEnd w:id="5"/>
        <w:tc>
          <w:tcPr>
            <w:tcW w:w="6307" w:type="dxa"/>
            <w:shd w:val="clear" w:color="auto" w:fill="auto"/>
            <w:noWrap/>
            <w:vAlign w:val="center"/>
          </w:tcPr>
          <w:p w:rsidR="00C42E04" w:rsidRPr="00CB0E4C" w:rsidRDefault="00637202" w:rsidP="0001140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object w:dxaOrig="1533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6.5pt;height:49.5pt" o:ole="">
                  <v:imagedata r:id="rId13" o:title=""/>
                </v:shape>
                <o:OLEObject Type="Embed" ProgID="Word.Document.12" ShapeID="_x0000_i1027" DrawAspect="Icon" ObjectID="_1566129369" r:id="rId14">
                  <o:FieldCodes>\s</o:FieldCodes>
                </o:OLEObject>
              </w:object>
            </w:r>
          </w:p>
        </w:tc>
      </w:tr>
    </w:tbl>
    <w:p w:rsidR="00C42E04" w:rsidRPr="00CB0E4C" w:rsidRDefault="00C42E04" w:rsidP="00C42E04">
      <w:pPr>
        <w:pStyle w:val="COLTbodycopy"/>
        <w:rPr>
          <w:lang w:val="en-US"/>
        </w:rPr>
      </w:pPr>
    </w:p>
    <w:p w:rsidR="00C42E04" w:rsidRPr="00CB0E4C" w:rsidRDefault="00C42E04" w:rsidP="00C42E04">
      <w:pPr>
        <w:pStyle w:val="COLTbodycopy"/>
        <w:rPr>
          <w:lang w:val="en-US"/>
        </w:rPr>
      </w:pPr>
      <w:r w:rsidRPr="00CB0E4C">
        <w:rPr>
          <w:b/>
          <w:lang w:val="en-US"/>
        </w:rPr>
        <w:lastRenderedPageBreak/>
        <w:t>Step 2:</w:t>
      </w:r>
      <w:r w:rsidRPr="00CB0E4C">
        <w:rPr>
          <w:lang w:val="en-US"/>
        </w:rPr>
        <w:t xml:space="preserve"> The interconnect manager will engage with the PTT commercial manager to negotiate conversion of the IFS number to a standard national </w:t>
      </w:r>
      <w:proofErr w:type="spellStart"/>
      <w:r w:rsidRPr="00CB0E4C">
        <w:rPr>
          <w:lang w:val="en-US"/>
        </w:rPr>
        <w:t>freephone</w:t>
      </w:r>
      <w:proofErr w:type="spellEnd"/>
      <w:r w:rsidRPr="00CB0E4C">
        <w:rPr>
          <w:lang w:val="en-US"/>
        </w:rPr>
        <w:t xml:space="preserve"> number.  If successful, the Interconnect Manager will i</w:t>
      </w:r>
      <w:r w:rsidR="00AC71ED">
        <w:rPr>
          <w:lang w:val="en-US"/>
        </w:rPr>
        <w:t>nform the Colt porting team</w:t>
      </w:r>
      <w:r w:rsidRPr="00CB0E4C">
        <w:rPr>
          <w:lang w:val="en-US"/>
        </w:rPr>
        <w:t xml:space="preserve"> of the conversion date.  If discussions with the PTT are unsuccessful, the Interconnect manager will engage</w:t>
      </w:r>
      <w:r w:rsidR="00AC71ED">
        <w:rPr>
          <w:lang w:val="en-US"/>
        </w:rPr>
        <w:t xml:space="preserve"> / escalate to the Regulatory team.</w:t>
      </w:r>
    </w:p>
    <w:p w:rsidR="00C42E04" w:rsidRPr="006D6AB7" w:rsidRDefault="00C42E04" w:rsidP="00C42E04">
      <w:pPr>
        <w:pStyle w:val="COLTbodycopy"/>
        <w:rPr>
          <w:lang w:val="en-US"/>
        </w:rPr>
      </w:pPr>
      <w:r w:rsidRPr="00CB0E4C">
        <w:rPr>
          <w:b/>
          <w:lang w:val="en-US"/>
        </w:rPr>
        <w:t>Step 3:</w:t>
      </w:r>
      <w:r w:rsidR="00AC71ED">
        <w:rPr>
          <w:lang w:val="en-US"/>
        </w:rPr>
        <w:t xml:space="preserve">  When successful, the porting team</w:t>
      </w:r>
      <w:r w:rsidRPr="00CB0E4C">
        <w:rPr>
          <w:lang w:val="en-US"/>
        </w:rPr>
        <w:t xml:space="preserve"> communicates the conversion date with the customer, and triggers the standard porting process to occur after the conversion date.  </w:t>
      </w:r>
      <w:hyperlink r:id="rId15" w:history="1">
        <w:r w:rsidRPr="00C42E04">
          <w:rPr>
            <w:rStyle w:val="Hyperlink"/>
            <w:color w:val="00A59B" w:themeColor="accent1"/>
            <w:lang w:val="en-US"/>
          </w:rPr>
          <w:t>See here for  user guides for the standard porting and order processes</w:t>
        </w:r>
      </w:hyperlink>
    </w:p>
    <w:p w:rsidR="00C42E04" w:rsidRDefault="00C42E04" w:rsidP="00C42E04">
      <w:pPr>
        <w:pStyle w:val="COLTbodycopy"/>
        <w:rPr>
          <w:b/>
          <w:lang w:val="en-US"/>
        </w:rPr>
      </w:pPr>
    </w:p>
    <w:tbl>
      <w:tblPr>
        <w:tblW w:w="87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C42E04" w:rsidRPr="00CB0E4C" w:rsidTr="001903DE">
        <w:trPr>
          <w:trHeight w:val="32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59B"/>
            <w:vAlign w:val="center"/>
            <w:hideMark/>
          </w:tcPr>
          <w:p w:rsidR="00C42E04" w:rsidRPr="00CB0E4C" w:rsidRDefault="00C42E04" w:rsidP="001903DE">
            <w:pPr>
              <w:spacing w:after="0" w:line="312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B0E4C">
              <w:rPr>
                <w:rFonts w:ascii="Arial" w:hAnsi="Arial" w:cs="Arial"/>
                <w:b/>
                <w:color w:val="FFFFFF" w:themeColor="background1"/>
              </w:rPr>
              <w:t>Country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59B"/>
            <w:noWrap/>
            <w:vAlign w:val="center"/>
            <w:hideMark/>
          </w:tcPr>
          <w:p w:rsidR="00C42E04" w:rsidRPr="00CB0E4C" w:rsidRDefault="00C42E04" w:rsidP="001903DE">
            <w:pPr>
              <w:spacing w:after="0" w:line="312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CB0E4C">
              <w:rPr>
                <w:rFonts w:ascii="Arial" w:hAnsi="Arial" w:cs="Arial"/>
                <w:b/>
                <w:color w:val="FFFFFF" w:themeColor="background1"/>
              </w:rPr>
              <w:t>Porting Contacts</w:t>
            </w:r>
          </w:p>
        </w:tc>
      </w:tr>
      <w:tr w:rsidR="00C42E04" w:rsidRPr="00CB0E4C" w:rsidTr="001903DE">
        <w:trPr>
          <w:trHeight w:val="4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59B"/>
            <w:vAlign w:val="center"/>
            <w:hideMark/>
          </w:tcPr>
          <w:p w:rsidR="00C42E04" w:rsidRPr="00CB0E4C" w:rsidRDefault="00C42E04" w:rsidP="001903DE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59B"/>
            <w:vAlign w:val="center"/>
            <w:hideMark/>
          </w:tcPr>
          <w:p w:rsidR="00C42E04" w:rsidRPr="00CB0E4C" w:rsidRDefault="00C42E04" w:rsidP="001903DE">
            <w:pPr>
              <w:rPr>
                <w:rFonts w:ascii="Arial" w:hAnsi="Arial" w:cs="Arial"/>
                <w:color w:val="FFFFFF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AT</w:t>
            </w:r>
          </w:p>
        </w:tc>
        <w:tc>
          <w:tcPr>
            <w:tcW w:w="75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Arial" w:hAnsi="Arial" w:cs="Arial"/>
                <w:color w:val="000000"/>
              </w:rPr>
            </w:pPr>
            <w:r w:rsidRPr="00CB0E4C">
              <w:rPr>
                <w:rFonts w:ascii="Arial" w:hAnsi="Arial" w:cs="Arial"/>
                <w:color w:val="000000"/>
              </w:rPr>
              <w:t xml:space="preserve">Please find country specific contacts in the ‘Country Porting Contacts’ in the ‘Internal Resources’ section on the </w:t>
            </w:r>
            <w:hyperlink r:id="rId16" w:history="1">
              <w:r w:rsidRPr="00C42E04">
                <w:rPr>
                  <w:rFonts w:ascii="Arial" w:hAnsi="Arial" w:cs="Arial"/>
                  <w:color w:val="00A59B" w:themeColor="accent1"/>
                  <w:u w:val="single"/>
                </w:rPr>
                <w:t>Porting intranet page</w:t>
              </w:r>
            </w:hyperlink>
            <w:r w:rsidRPr="00CB0E4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BE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CH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DE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DK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FR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NL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IE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IT</w:t>
            </w:r>
          </w:p>
        </w:tc>
        <w:tc>
          <w:tcPr>
            <w:tcW w:w="7513" w:type="dxa"/>
            <w:vMerge/>
            <w:tcBorders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PT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SE</w:t>
            </w:r>
          </w:p>
        </w:tc>
        <w:tc>
          <w:tcPr>
            <w:tcW w:w="751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Arial" w:hAnsi="Arial" w:cs="Arial"/>
                <w:color w:val="000000"/>
              </w:rPr>
            </w:pPr>
          </w:p>
        </w:tc>
      </w:tr>
      <w:tr w:rsidR="00C42E04" w:rsidRPr="00CB0E4C" w:rsidTr="001903D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</w:rPr>
              <w:t>UK</w:t>
            </w:r>
          </w:p>
        </w:tc>
        <w:tc>
          <w:tcPr>
            <w:tcW w:w="75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42E04" w:rsidRPr="00CB0E4C" w:rsidRDefault="00C42E04" w:rsidP="001903DE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</w:tbl>
    <w:p w:rsidR="00926A40" w:rsidRDefault="00926A40" w:rsidP="00C42E04">
      <w:pPr>
        <w:pStyle w:val="COLTbodycopy"/>
        <w:rPr>
          <w:rFonts w:eastAsia="Times New Roman"/>
          <w:b/>
          <w:color w:val="FFFFFF" w:themeColor="background1"/>
          <w:sz w:val="20"/>
          <w:szCs w:val="20"/>
        </w:rPr>
      </w:pPr>
    </w:p>
    <w:p w:rsidR="00926A40" w:rsidRPr="00926A40" w:rsidRDefault="00926A40" w:rsidP="00C42E04">
      <w:pPr>
        <w:pStyle w:val="COLTbodycopy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Escalation Matrix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149"/>
        <w:gridCol w:w="3544"/>
        <w:gridCol w:w="3969"/>
      </w:tblGrid>
      <w:tr w:rsidR="00C42E04" w:rsidRPr="00CB0E4C" w:rsidTr="001903DE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59B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0E4C">
              <w:rPr>
                <w:rFonts w:ascii="Arial" w:hAnsi="Arial" w:cs="Arial"/>
                <w:b/>
                <w:color w:val="FFFFFF" w:themeColor="background1"/>
              </w:rPr>
              <w:t>Country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59B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0E4C">
              <w:rPr>
                <w:rFonts w:ascii="Arial" w:hAnsi="Arial" w:cs="Arial"/>
                <w:b/>
                <w:color w:val="FFFFFF" w:themeColor="background1"/>
              </w:rPr>
              <w:t>Interconnect Managers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A59B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B0E4C">
              <w:rPr>
                <w:rFonts w:ascii="Arial" w:hAnsi="Arial" w:cs="Arial"/>
                <w:b/>
                <w:color w:val="FFFFFF" w:themeColor="background1"/>
              </w:rPr>
              <w:t>Regulatory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AT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Klaus Geese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Christian Weber 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BE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Bernard Bierhaus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Jan Degraeuwe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Klaus Geese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Christian Weber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Gerd Schmidt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Christian Weber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DK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4F52A1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Andreas Hindenburg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 xml:space="preserve">Ulf </w:t>
            </w:r>
            <w:proofErr w:type="spellStart"/>
            <w:r w:rsidRPr="00CB0E4C">
              <w:rPr>
                <w:rFonts w:ascii="Arial" w:hAnsi="Arial" w:cs="Arial"/>
                <w:color w:val="000000"/>
                <w:szCs w:val="20"/>
              </w:rPr>
              <w:t>Wahlof</w:t>
            </w:r>
            <w:proofErr w:type="spellEnd"/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ES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 xml:space="preserve">Carmen Iglesias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Pablo Diez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FR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Stephane Viard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 xml:space="preserve">Emmanuel Tricaud 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NL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Bernard Bierhaus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Ellen Koopmans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IE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Richard Anderson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Ceri Owen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IT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Fausto Pisoni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Giulio Brunelli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PT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 xml:space="preserve">Carmen Iglesias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Pablo Diez</w:t>
            </w:r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SE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4F52A1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Andreas Hindenburg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 xml:space="preserve">Ulf </w:t>
            </w:r>
            <w:proofErr w:type="spellStart"/>
            <w:r w:rsidRPr="00CB0E4C">
              <w:rPr>
                <w:rFonts w:ascii="Arial" w:hAnsi="Arial" w:cs="Arial"/>
                <w:color w:val="000000"/>
                <w:szCs w:val="20"/>
              </w:rPr>
              <w:t>Wahlof</w:t>
            </w:r>
            <w:proofErr w:type="spellEnd"/>
          </w:p>
        </w:tc>
      </w:tr>
      <w:tr w:rsidR="00C42E04" w:rsidRPr="00CB0E4C" w:rsidTr="001903DE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UK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Richard Anderson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E04" w:rsidRPr="00CB0E4C" w:rsidRDefault="00C42E04" w:rsidP="001903DE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</w:rPr>
            </w:pPr>
            <w:r w:rsidRPr="00CB0E4C">
              <w:rPr>
                <w:rFonts w:ascii="Arial" w:hAnsi="Arial" w:cs="Arial"/>
                <w:color w:val="000000"/>
                <w:szCs w:val="20"/>
              </w:rPr>
              <w:t>Ceri Owen</w:t>
            </w:r>
          </w:p>
        </w:tc>
      </w:tr>
    </w:tbl>
    <w:p w:rsidR="005C66E7" w:rsidRDefault="005C66E7" w:rsidP="00145240">
      <w:pPr>
        <w:spacing w:after="200" w:line="276" w:lineRule="auto"/>
      </w:pPr>
    </w:p>
    <w:sectPr w:rsidR="005C66E7" w:rsidSect="0096220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A1" w:rsidRDefault="004F52A1" w:rsidP="00CA3E45">
      <w:pPr>
        <w:spacing w:after="0" w:line="240" w:lineRule="auto"/>
      </w:pPr>
      <w:r>
        <w:separator/>
      </w:r>
    </w:p>
  </w:endnote>
  <w:endnote w:type="continuationSeparator" w:id="0">
    <w:p w:rsidR="004F52A1" w:rsidRDefault="004F52A1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7202">
      <w:rPr>
        <w:noProof/>
      </w:rPr>
      <w:t>3</w:t>
    </w:r>
    <w:r>
      <w:fldChar w:fldCharType="end"/>
    </w:r>
    <w:r>
      <w:t xml:space="preserve"> / </w:t>
    </w:r>
    <w:fldSimple w:instr=" NUMPAGES  \* Arabic  \* MERGEFORMAT ">
      <w:r w:rsidR="00637202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45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7202">
      <w:rPr>
        <w:noProof/>
      </w:rPr>
      <w:t>1</w:t>
    </w:r>
    <w:r>
      <w:fldChar w:fldCharType="end"/>
    </w:r>
    <w:r>
      <w:t xml:space="preserve"> / </w:t>
    </w:r>
    <w:r w:rsidR="00637202">
      <w:fldChar w:fldCharType="begin"/>
    </w:r>
    <w:r w:rsidR="00637202">
      <w:instrText xml:space="preserve"> NUMPAGES  \* Arabic  \* MERGEFORMAT </w:instrText>
    </w:r>
    <w:r w:rsidR="00637202">
      <w:fldChar w:fldCharType="separate"/>
    </w:r>
    <w:r w:rsidR="00637202">
      <w:rPr>
        <w:noProof/>
      </w:rPr>
      <w:t>3</w:t>
    </w:r>
    <w:r w:rsidR="006372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A1" w:rsidRDefault="004F52A1" w:rsidP="00CA3E45">
      <w:pPr>
        <w:spacing w:after="0" w:line="240" w:lineRule="auto"/>
      </w:pPr>
      <w:r>
        <w:separator/>
      </w:r>
    </w:p>
  </w:footnote>
  <w:footnote w:type="continuationSeparator" w:id="0">
    <w:p w:rsidR="004F52A1" w:rsidRDefault="004F52A1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E7" w:rsidRDefault="00100AEE">
    <w:pPr>
      <w:pStyle w:val="Header"/>
    </w:pPr>
    <w:r>
      <w:rPr>
        <w:noProof/>
        <w:lang w:val="en-US" w:eastAsia="ja-JP"/>
      </w:rPr>
      <w:drawing>
        <wp:anchor distT="0" distB="0" distL="114300" distR="114300" simplePos="0" relativeHeight="251666432" behindDoc="0" locked="1" layoutInCell="1" allowOverlap="1" wp14:anchorId="4EDBCF2F" wp14:editId="4EDBCF30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EDBCF31" wp14:editId="4EDBCF32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C462E7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" strokecolor="#161412 [3213]" strokeweight=".25pt">
              <w10:wrap anchorx="page" anchory="page"/>
              <w10:anchorlock/>
            </v:line>
          </w:pict>
        </mc:Fallback>
      </mc:AlternateContent>
    </w: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5C66E7" w:rsidRDefault="005C66E7">
    <w:pPr>
      <w:pStyle w:val="Header"/>
    </w:pPr>
  </w:p>
  <w:p w:rsidR="00F2290A" w:rsidRDefault="00F2290A">
    <w:pPr>
      <w:pStyle w:val="Header"/>
      <w:rPr>
        <w:szCs w:val="16"/>
      </w:rPr>
    </w:pPr>
  </w:p>
  <w:p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45" w:rsidRDefault="00C6301E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EDBCF33" wp14:editId="4EDBCF34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46FC2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" strokecolor="#161412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ja-JP"/>
      </w:rPr>
      <w:drawing>
        <wp:anchor distT="0" distB="0" distL="114300" distR="114300" simplePos="0" relativeHeight="251660288" behindDoc="0" locked="1" layoutInCell="1" allowOverlap="1" wp14:anchorId="4EDBCF35" wp14:editId="4EDBCF36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E85C2F"/>
    <w:multiLevelType w:val="hybridMultilevel"/>
    <w:tmpl w:val="8BE0753E"/>
    <w:lvl w:ilvl="0" w:tplc="CF020614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E723D"/>
    <w:multiLevelType w:val="hybridMultilevel"/>
    <w:tmpl w:val="D592E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A1"/>
    <w:rsid w:val="00011407"/>
    <w:rsid w:val="000145DB"/>
    <w:rsid w:val="000D41DB"/>
    <w:rsid w:val="00100AEE"/>
    <w:rsid w:val="00145240"/>
    <w:rsid w:val="00191C63"/>
    <w:rsid w:val="001B096D"/>
    <w:rsid w:val="001E7D3E"/>
    <w:rsid w:val="00214100"/>
    <w:rsid w:val="00275136"/>
    <w:rsid w:val="002B3059"/>
    <w:rsid w:val="00301B2B"/>
    <w:rsid w:val="0032373B"/>
    <w:rsid w:val="00337680"/>
    <w:rsid w:val="00376CF1"/>
    <w:rsid w:val="003A7D69"/>
    <w:rsid w:val="003B0475"/>
    <w:rsid w:val="003E6BB9"/>
    <w:rsid w:val="004052BC"/>
    <w:rsid w:val="00461D4D"/>
    <w:rsid w:val="004A0DCC"/>
    <w:rsid w:val="004F43C5"/>
    <w:rsid w:val="004F52A1"/>
    <w:rsid w:val="00526536"/>
    <w:rsid w:val="005C66E7"/>
    <w:rsid w:val="00605199"/>
    <w:rsid w:val="0062719C"/>
    <w:rsid w:val="00635072"/>
    <w:rsid w:val="00637202"/>
    <w:rsid w:val="006757AB"/>
    <w:rsid w:val="006A473D"/>
    <w:rsid w:val="006B16E0"/>
    <w:rsid w:val="006B4816"/>
    <w:rsid w:val="006C1F64"/>
    <w:rsid w:val="006D6AB7"/>
    <w:rsid w:val="00701321"/>
    <w:rsid w:val="0076614E"/>
    <w:rsid w:val="007A0FEB"/>
    <w:rsid w:val="0081591A"/>
    <w:rsid w:val="008369BC"/>
    <w:rsid w:val="008807AF"/>
    <w:rsid w:val="00926A40"/>
    <w:rsid w:val="00962204"/>
    <w:rsid w:val="00967FAE"/>
    <w:rsid w:val="009B0374"/>
    <w:rsid w:val="00A34070"/>
    <w:rsid w:val="00A711F4"/>
    <w:rsid w:val="00A73EAD"/>
    <w:rsid w:val="00AA7378"/>
    <w:rsid w:val="00AC71ED"/>
    <w:rsid w:val="00AC7B90"/>
    <w:rsid w:val="00AE18F5"/>
    <w:rsid w:val="00BC266F"/>
    <w:rsid w:val="00C42E04"/>
    <w:rsid w:val="00C6301E"/>
    <w:rsid w:val="00C7639C"/>
    <w:rsid w:val="00C83CF9"/>
    <w:rsid w:val="00C94A0A"/>
    <w:rsid w:val="00CA3E45"/>
    <w:rsid w:val="00CA5B05"/>
    <w:rsid w:val="00CF7F7F"/>
    <w:rsid w:val="00D12389"/>
    <w:rsid w:val="00D5297D"/>
    <w:rsid w:val="00DE7776"/>
    <w:rsid w:val="00E56F4A"/>
    <w:rsid w:val="00EA3147"/>
    <w:rsid w:val="00EA38FE"/>
    <w:rsid w:val="00EC5CAC"/>
    <w:rsid w:val="00ED2D30"/>
    <w:rsid w:val="00EE67B8"/>
    <w:rsid w:val="00F10F0E"/>
    <w:rsid w:val="00F2290A"/>
    <w:rsid w:val="00F32D9F"/>
    <w:rsid w:val="00F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1255FDE-F5CB-41D0-ADEB-21CDE486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7378"/>
    <w:pPr>
      <w:spacing w:after="120" w:line="240" w:lineRule="atLeast"/>
    </w:pPr>
    <w:rPr>
      <w:color w:val="1614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1614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161412" w:themeColor="text1"/>
      <w:sz w:val="20"/>
    </w:rPr>
  </w:style>
  <w:style w:type="paragraph" w:customStyle="1" w:styleId="COLTbodycopy">
    <w:name w:val="COLT body copy"/>
    <w:basedOn w:val="Normal"/>
    <w:link w:val="COLTbodycopyChar"/>
    <w:rsid w:val="00C42E04"/>
    <w:pPr>
      <w:widowControl w:val="0"/>
      <w:autoSpaceDE w:val="0"/>
      <w:autoSpaceDN w:val="0"/>
      <w:adjustRightInd w:val="0"/>
      <w:spacing w:line="312" w:lineRule="auto"/>
    </w:pPr>
    <w:rPr>
      <w:rFonts w:ascii="Arial" w:eastAsia="MS Mincho" w:hAnsi="Arial" w:cs="Arial"/>
      <w:bCs/>
      <w:color w:val="auto"/>
      <w:sz w:val="22"/>
      <w:szCs w:val="18"/>
      <w:lang w:eastAsia="en-GB"/>
    </w:rPr>
  </w:style>
  <w:style w:type="paragraph" w:customStyle="1" w:styleId="CharCharCharCharCarCarCharCarCarCharCarCarCharCarCar">
    <w:name w:val="Char Char Char Char Car Car Char Car Car Char Car Car Char Car Car"/>
    <w:basedOn w:val="Normal"/>
    <w:semiHidden/>
    <w:rsid w:val="00C42E04"/>
    <w:pPr>
      <w:keepNext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Arial" w:eastAsia="SimSun" w:hAnsi="Arial" w:cs="Arial"/>
      <w:color w:val="auto"/>
      <w:kern w:val="2"/>
      <w:szCs w:val="20"/>
      <w:lang w:val="en-US" w:eastAsia="zh-CN"/>
    </w:rPr>
  </w:style>
  <w:style w:type="character" w:customStyle="1" w:styleId="COLTbodycopyChar">
    <w:name w:val="COLT body copy Char"/>
    <w:link w:val="COLTbodycopy"/>
    <w:rsid w:val="00C42E04"/>
    <w:rPr>
      <w:rFonts w:ascii="Arial" w:eastAsia="MS Mincho" w:hAnsi="Arial" w:cs="Arial"/>
      <w:bCs/>
      <w:szCs w:val="18"/>
      <w:lang w:eastAsia="en-GB"/>
    </w:rPr>
  </w:style>
  <w:style w:type="character" w:styleId="Hyperlink">
    <w:name w:val="Hyperlink"/>
    <w:uiPriority w:val="99"/>
    <w:rsid w:val="00C42E04"/>
    <w:rPr>
      <w:color w:val="0000FF"/>
      <w:u w:val="single"/>
    </w:rPr>
  </w:style>
  <w:style w:type="paragraph" w:customStyle="1" w:styleId="DocTitle">
    <w:name w:val="DocTitle"/>
    <w:basedOn w:val="Normal"/>
    <w:rsid w:val="00C42E04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Arial" w:eastAsia="Times New Roman" w:hAnsi="Arial" w:cs="Arial"/>
      <w:bCs/>
      <w:noProof/>
      <w:color w:val="009DE0"/>
      <w:sz w:val="56"/>
      <w:szCs w:val="3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2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onnect.internal.colt.net/porting-informatio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nect.internal.colt.net/porting-informat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onnect.internal.colt.net/porting-informatio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1D9CD5EFC65F964BA83D549C2FECA069" ma:contentTypeVersion="2" ma:contentTypeDescription="Upload an image or a photograph." ma:contentTypeScope="" ma:versionID="9e03f68c6d7fe4289375727675743c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9c1c4d7d8f17dd15f0a2f3c3e5932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 ma:readOnly="fals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D134-0C27-4352-96D3-B697103D8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B13DA-190A-4290-829D-2B77C9DDCF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71A14D-07EB-4F84-8E32-F4DBE7D2A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9BBD6-2921-4CF9-A1E6-8D0254CA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Ann</dc:creator>
  <cp:keywords/>
  <dc:description/>
  <cp:lastModifiedBy>Hickling, Penelope</cp:lastModifiedBy>
  <cp:revision>4</cp:revision>
  <dcterms:created xsi:type="dcterms:W3CDTF">2017-09-04T09:54:00Z</dcterms:created>
  <dcterms:modified xsi:type="dcterms:W3CDTF">2017-09-05T14:10:00Z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0x010102001D9CD5EFC65F964BA83D549C2FECA069</vt:lpwstr>
  </property>
</Properties>
</file>